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60A5BE36" w:rsidR="00084C53" w:rsidRDefault="006D49C0" w:rsidP="00281E94">
      <w:pPr>
        <w:pStyle w:val="a"/>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1013AB">
        <w:rPr>
          <w:spacing w:val="0"/>
          <w:sz w:val="21"/>
          <w:szCs w:val="21"/>
        </w:rPr>
        <w:t>04</w:t>
      </w:r>
      <w:r w:rsidR="00636A92">
        <w:rPr>
          <w:spacing w:val="0"/>
          <w:sz w:val="21"/>
          <w:szCs w:val="21"/>
        </w:rPr>
        <w:t>/</w:t>
      </w:r>
      <w:r w:rsidR="001013AB">
        <w:rPr>
          <w:spacing w:val="0"/>
          <w:sz w:val="21"/>
          <w:szCs w:val="21"/>
        </w:rPr>
        <w:t>22</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361BE6E1" w:rsidR="005927ED" w:rsidRPr="00636A92" w:rsidRDefault="007474A9" w:rsidP="005A04CE">
            <w:pPr>
              <w:rPr>
                <w:rFonts w:ascii="MS PMincho" w:eastAsia="MS PMincho" w:hAnsi="MS PMincho"/>
                <w:sz w:val="22"/>
                <w:szCs w:val="22"/>
              </w:rPr>
            </w:pPr>
            <w:r>
              <w:rPr>
                <w:rFonts w:ascii="MS PMincho" w:eastAsia="MS PMincho" w:hAnsi="MS PMincho"/>
                <w:sz w:val="22"/>
                <w:szCs w:val="22"/>
              </w:rPr>
              <w:t>Institute of Physics of Czech Academy of Sciences</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52A30128" w:rsidR="005927ED" w:rsidRPr="00636A92" w:rsidRDefault="007474A9" w:rsidP="005A04CE">
            <w:pPr>
              <w:rPr>
                <w:rFonts w:ascii="MS PMincho" w:eastAsia="MS PMincho" w:hAnsi="MS PMincho"/>
                <w:sz w:val="22"/>
                <w:szCs w:val="22"/>
              </w:rPr>
            </w:pPr>
            <w:r>
              <w:rPr>
                <w:rFonts w:ascii="MS PMincho" w:eastAsia="MS PMincho" w:hAnsi="MS PMincho"/>
                <w:sz w:val="22"/>
                <w:szCs w:val="22"/>
              </w:rPr>
              <w:t>Post-Doc</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273052BE" w:rsidR="005927ED" w:rsidRPr="00636A92" w:rsidRDefault="007474A9" w:rsidP="005A04CE">
            <w:pPr>
              <w:rPr>
                <w:rFonts w:ascii="MS PMincho" w:eastAsia="MS PMincho" w:hAnsi="MS PMincho"/>
                <w:sz w:val="22"/>
                <w:szCs w:val="22"/>
              </w:rPr>
            </w:pPr>
            <w:r>
              <w:rPr>
                <w:rFonts w:ascii="MS PMincho" w:eastAsia="MS PMincho" w:hAnsi="MS PMincho"/>
                <w:sz w:val="22"/>
                <w:szCs w:val="22"/>
              </w:rPr>
              <w:t>Drahomir Dvorsky</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DF3F4E0" w:rsidR="00FE7BC2" w:rsidRPr="00636A92" w:rsidRDefault="007474A9" w:rsidP="005A04CE">
            <w:pPr>
              <w:rPr>
                <w:rFonts w:ascii="MS PMincho" w:eastAsia="MS PMincho" w:hAnsi="MS PMincho"/>
                <w:sz w:val="22"/>
                <w:szCs w:val="22"/>
              </w:rPr>
            </w:pPr>
            <w:r>
              <w:rPr>
                <w:rFonts w:ascii="MS PMincho" w:eastAsia="MS PMincho" w:hAnsi="MS PMincho"/>
                <w:sz w:val="22"/>
                <w:szCs w:val="22"/>
              </w:rPr>
              <w:t>Magnesium Research Center</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7856615D" w:rsidR="00FE7BC2" w:rsidRPr="00636A92" w:rsidRDefault="007474A9" w:rsidP="005A04CE">
            <w:pPr>
              <w:rPr>
                <w:rFonts w:ascii="MS PMincho" w:eastAsia="MS PMincho" w:hAnsi="MS PMincho"/>
                <w:sz w:val="22"/>
                <w:szCs w:val="22"/>
              </w:rPr>
            </w:pPr>
            <w:r>
              <w:rPr>
                <w:rFonts w:ascii="MS PMincho" w:eastAsia="MS PMincho" w:hAnsi="MS PMincho"/>
                <w:sz w:val="22"/>
                <w:szCs w:val="22"/>
              </w:rPr>
              <w:t>Professor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056D36C0" w:rsidR="00FE7BC2" w:rsidRPr="00636A92" w:rsidRDefault="007474A9" w:rsidP="005A04CE">
            <w:pPr>
              <w:rPr>
                <w:rFonts w:ascii="MS PMincho" w:eastAsia="MS PMincho" w:hAnsi="MS PMincho"/>
                <w:sz w:val="22"/>
                <w:szCs w:val="22"/>
              </w:rPr>
            </w:pPr>
            <w:r>
              <w:rPr>
                <w:rFonts w:ascii="MS PMincho" w:eastAsia="MS PMincho" w:hAnsi="MS PMincho"/>
                <w:sz w:val="22"/>
                <w:szCs w:val="22"/>
              </w:rPr>
              <w:t>Yoshihito Kawamura</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5212475F" w:rsidR="00596D90" w:rsidRPr="00636A92" w:rsidRDefault="007474A9" w:rsidP="007474A9">
            <w:pPr>
              <w:spacing w:line="360" w:lineRule="auto"/>
              <w:rPr>
                <w:rFonts w:ascii="MS PMincho" w:eastAsia="MS PMincho" w:hAnsi="MS PMincho"/>
                <w:sz w:val="22"/>
                <w:szCs w:val="22"/>
              </w:rPr>
            </w:pPr>
            <w:r>
              <w:rPr>
                <w:rFonts w:ascii="MS PMincho" w:eastAsia="MS PMincho" w:hAnsi="MS PMincho"/>
                <w:sz w:val="22"/>
                <w:szCs w:val="22"/>
              </w:rPr>
              <w:t>Kink strengthening using double extrusion of Mg-Y-Zn alloy</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7474A9">
              <w:rPr>
                <w:rFonts w:ascii="MS PMincho" w:eastAsia="MS PMincho" w:hAnsi="MS PMincho" w:hint="eastAsia"/>
                <w:sz w:val="22"/>
                <w:szCs w:val="22"/>
                <w:highlight w:val="black"/>
              </w:rPr>
              <w:t>□</w:t>
            </w:r>
            <w:r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3F6BBC9C"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7474A9">
              <w:rPr>
                <w:rFonts w:ascii="MS PMincho" w:eastAsia="MS PMincho" w:hAnsi="MS PMincho" w:hint="eastAsia"/>
                <w:sz w:val="22"/>
                <w:szCs w:val="22"/>
                <w:highlight w:val="black"/>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624103B9" w14:textId="7B3E886A" w:rsidR="00A16AEA" w:rsidRPr="00636A92" w:rsidRDefault="007474A9" w:rsidP="005A04CE">
            <w:pPr>
              <w:ind w:right="68"/>
              <w:rPr>
                <w:rFonts w:ascii="MS PMincho" w:eastAsia="MS PMincho" w:hAnsi="MS PMincho"/>
                <w:sz w:val="22"/>
                <w:szCs w:val="22"/>
              </w:rPr>
            </w:pPr>
            <w:r>
              <w:rPr>
                <w:rFonts w:ascii="MS PMincho" w:eastAsia="MS PMincho" w:hAnsi="MS PMincho"/>
                <w:sz w:val="22"/>
                <w:szCs w:val="22"/>
              </w:rPr>
              <w:t>Magnesium Research Center – extrusion, microstructure and mechanical testing</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4C7567CD"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w:t>
            </w:r>
            <w:r w:rsidR="007474A9">
              <w:rPr>
                <w:rFonts w:ascii="MS PMincho" w:eastAsia="MS PMincho" w:hAnsi="MS PMincho"/>
                <w:sz w:val="22"/>
                <w:szCs w:val="22"/>
                <w:lang w:val="cs-CZ"/>
              </w:rPr>
              <w:t xml:space="preserve">300000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1007369C"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
              <w:wordWrap/>
              <w:spacing w:line="288" w:lineRule="atLeast"/>
              <w:rPr>
                <w:rFonts w:ascii="MS PMincho" w:eastAsia="MS PMincho" w:hAnsi="MS PMincho"/>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359508C1" w14:textId="77777777" w:rsidR="00340B3B" w:rsidRPr="00340B3B" w:rsidRDefault="00340B3B" w:rsidP="00340B3B">
            <w:pPr>
              <w:pStyle w:val="a"/>
              <w:wordWrap/>
              <w:spacing w:line="288" w:lineRule="atLeast"/>
              <w:rPr>
                <w:rFonts w:ascii="MS PMincho" w:eastAsia="MS PMincho" w:hAnsi="MS PMincho"/>
                <w:spacing w:val="0"/>
              </w:rPr>
            </w:pPr>
            <w:r w:rsidRPr="00340B3B">
              <w:rPr>
                <w:rFonts w:ascii="MS PMincho" w:eastAsia="MS PMincho" w:hAnsi="MS PMincho"/>
                <w:spacing w:val="0"/>
              </w:rPr>
              <w:t>The effect of initial heat treatment on the mechanical properties of extruded Mg–Y–Zn alloys was investigated. The first extrusion of a solution-treated ingot resulted in relatively low strength (TYS = 256 MPa) and moderate ductility (A = 8.2%), whereas extrusion of an aged ingot led to higher strength (TYS = 284 MPa) but reduced ductility (A = 5.8%). These extruded materials were subsequently subjected to a second extrusion, preceded by various treatments, including aging, pre-deformation, and their combination.</w:t>
            </w:r>
          </w:p>
          <w:p w14:paraId="317DAA82" w14:textId="77777777" w:rsidR="00340B3B" w:rsidRPr="00340B3B" w:rsidRDefault="00340B3B" w:rsidP="00340B3B">
            <w:pPr>
              <w:pStyle w:val="a"/>
              <w:wordWrap/>
              <w:spacing w:line="288" w:lineRule="atLeast"/>
              <w:rPr>
                <w:rFonts w:ascii="MS PMincho" w:eastAsia="MS PMincho" w:hAnsi="MS PMincho"/>
                <w:spacing w:val="0"/>
              </w:rPr>
            </w:pPr>
            <w:r w:rsidRPr="00340B3B">
              <w:rPr>
                <w:rFonts w:ascii="MS PMincho" w:eastAsia="MS PMincho" w:hAnsi="MS PMincho"/>
                <w:spacing w:val="0"/>
              </w:rPr>
              <w:t>The second extrusion, performed under identical conditions, increased the strength of both materials to comparable levels (TYS ≈ 373 MPa), while ductility remained close to the values observed after the first extrusion. This behavior is attributed to the further development of kink bands, along with modifications in the size and distribution of non-DRX grains and DRX regions.</w:t>
            </w:r>
          </w:p>
          <w:p w14:paraId="3D030143" w14:textId="253725B5" w:rsidR="00340B3B" w:rsidRPr="00340B3B" w:rsidRDefault="00340B3B" w:rsidP="00340B3B">
            <w:pPr>
              <w:pStyle w:val="a"/>
              <w:wordWrap/>
              <w:spacing w:line="288" w:lineRule="atLeast"/>
              <w:rPr>
                <w:rFonts w:ascii="MS PMincho" w:eastAsia="MS PMincho" w:hAnsi="MS PMincho"/>
                <w:spacing w:val="0"/>
              </w:rPr>
            </w:pPr>
            <w:r w:rsidRPr="00340B3B">
              <w:rPr>
                <w:rFonts w:ascii="MS PMincho" w:eastAsia="MS PMincho" w:hAnsi="MS PMincho"/>
                <w:spacing w:val="0"/>
              </w:rPr>
              <w:t>Pre-aging prior to the second extrusion resulted in a decrease in ductility by approximately 3% in both cases. In the solution-treated material, it also led to a reduction in strength (TYS = 351 MPa). This deterioration is associated with an increased fraction of non-DRX regions. The microstructure formed after the first extrusion consisted of both DRX and non-DRX areas, with the latter storing significant strain energy. During subsequent aging, these regions underwent grain growth, resulting in large, strongly textured grains</w:t>
            </w:r>
            <w:r w:rsidR="00B66685">
              <w:rPr>
                <w:rFonts w:ascii="MS PMincho" w:eastAsia="MS PMincho" w:hAnsi="MS PMincho"/>
                <w:spacing w:val="0"/>
              </w:rPr>
              <w:t xml:space="preserve"> without any strain</w:t>
            </w:r>
            <w:r w:rsidRPr="00340B3B">
              <w:rPr>
                <w:rFonts w:ascii="MS PMincho" w:eastAsia="MS PMincho" w:hAnsi="MS PMincho"/>
                <w:spacing w:val="0"/>
              </w:rPr>
              <w:t xml:space="preserve">. </w:t>
            </w:r>
            <w:r w:rsidR="00B66685">
              <w:rPr>
                <w:rFonts w:ascii="MS PMincho" w:eastAsia="MS PMincho" w:hAnsi="MS PMincho"/>
                <w:spacing w:val="0"/>
              </w:rPr>
              <w:t>Thus, t</w:t>
            </w:r>
            <w:r w:rsidRPr="00340B3B">
              <w:rPr>
                <w:rFonts w:ascii="MS PMincho" w:eastAsia="MS PMincho" w:hAnsi="MS PMincho"/>
                <w:spacing w:val="0"/>
              </w:rPr>
              <w:t>hese grains were able to accommodate deformation during the second extrusion without activating DRX, thereby limiting ductility.</w:t>
            </w:r>
          </w:p>
          <w:p w14:paraId="37543E7B" w14:textId="55C6D1B9" w:rsidR="00340B3B" w:rsidRPr="00340B3B" w:rsidRDefault="00340B3B" w:rsidP="00340B3B">
            <w:pPr>
              <w:pStyle w:val="a"/>
              <w:wordWrap/>
              <w:spacing w:line="288" w:lineRule="atLeast"/>
              <w:rPr>
                <w:rFonts w:ascii="MS PMincho" w:eastAsia="MS PMincho" w:hAnsi="MS PMincho"/>
                <w:spacing w:val="0"/>
              </w:rPr>
            </w:pPr>
            <w:r w:rsidRPr="00340B3B">
              <w:rPr>
                <w:rFonts w:ascii="MS PMincho" w:eastAsia="MS PMincho" w:hAnsi="MS PMincho"/>
                <w:spacing w:val="0"/>
              </w:rPr>
              <w:t xml:space="preserve">In contrast, the application of pre-deformation prior to the second extrusion significantly enhanced </w:t>
            </w:r>
            <w:r w:rsidR="00FF629A" w:rsidRPr="00340B3B">
              <w:rPr>
                <w:rFonts w:ascii="MS PMincho" w:eastAsia="MS PMincho" w:hAnsi="MS PMincho"/>
                <w:spacing w:val="0"/>
              </w:rPr>
              <w:t>strength</w:t>
            </w:r>
            <w:r w:rsidRPr="00340B3B">
              <w:rPr>
                <w:rFonts w:ascii="MS PMincho" w:eastAsia="MS PMincho" w:hAnsi="MS PMincho"/>
                <w:spacing w:val="0"/>
              </w:rPr>
              <w:t xml:space="preserve"> (TYS = 415 MPa and 398 MPa for the solution-treated and aged conditions, respectively). The ductility slightly decreased in the solution-treated material (A = 5.6%) but improved in the aged condition (A = 6.4%). This effect is attributed to the introduction of kink bands during pre-deformation. Both DRX and non-DRX grains accumulated strain and developed kink structures during compression, which were further intensified during the second extrusion. The stored strain energy also promoted DRX, contributing to the observed improvement in the strength–ductility balance.</w:t>
            </w:r>
          </w:p>
          <w:p w14:paraId="554E613C" w14:textId="249129AE" w:rsidR="00596D90" w:rsidRPr="005927ED" w:rsidRDefault="00340B3B" w:rsidP="00FF629A">
            <w:pPr>
              <w:pStyle w:val="Normlnweb"/>
              <w:jc w:val="both"/>
              <w:rPr>
                <w:rFonts w:ascii="MS PMincho" w:eastAsia="MS PMincho" w:hAnsi="MS PMincho"/>
              </w:rPr>
            </w:pPr>
            <w:r w:rsidRPr="00340B3B">
              <w:rPr>
                <w:rFonts w:ascii="MS PMincho" w:eastAsia="MS PMincho" w:hAnsi="MS PMincho" w:cs="MS Gothic"/>
                <w:sz w:val="22"/>
                <w:szCs w:val="22"/>
                <w:lang w:val="en-US"/>
              </w:rPr>
              <w:t>The most pronounced improvement in ductility was achieved by combining aging and pre-deformation prior to the second extrusion. While the strength remained comparable to that of the heat-treated conditions, ductility increased significantly (A = 13.3% and 8.6%). This</w:t>
            </w:r>
            <w:r w:rsidRPr="00FF629A">
              <w:rPr>
                <w:rFonts w:ascii="MS PMincho" w:eastAsia="MS PMincho" w:hAnsi="MS PMincho" w:cs="MS Gothic"/>
                <w:sz w:val="22"/>
                <w:szCs w:val="22"/>
                <w:lang w:val="en-US"/>
              </w:rPr>
              <w:t xml:space="preserve"> </w:t>
            </w:r>
            <w:r w:rsidRPr="00340B3B">
              <w:rPr>
                <w:rFonts w:ascii="MS PMincho" w:eastAsia="MS PMincho" w:hAnsi="MS PMincho" w:cs="MS Gothic"/>
                <w:sz w:val="22"/>
                <w:szCs w:val="22"/>
                <w:lang w:val="en-US"/>
              </w:rPr>
              <w:t>enhancement is attributed to</w:t>
            </w:r>
            <w:r w:rsidRPr="00FF629A">
              <w:rPr>
                <w:rFonts w:ascii="MS PMincho" w:eastAsia="MS PMincho" w:hAnsi="MS PMincho" w:cs="MS Gothic"/>
                <w:sz w:val="22"/>
                <w:szCs w:val="22"/>
                <w:lang w:val="en-US"/>
              </w:rPr>
              <w:t xml:space="preserve"> </w:t>
            </w:r>
            <w:r w:rsidRPr="00340B3B">
              <w:rPr>
                <w:rFonts w:ascii="MS PMincho" w:eastAsia="MS PMincho" w:hAnsi="MS PMincho" w:cs="MS Gothic"/>
                <w:sz w:val="22"/>
                <w:szCs w:val="22"/>
                <w:lang w:val="en-US"/>
              </w:rPr>
              <w:t xml:space="preserve">the </w:t>
            </w:r>
            <w:r w:rsidRPr="00340B3B">
              <w:rPr>
                <w:rFonts w:ascii="MS PMincho" w:eastAsia="MS PMincho" w:hAnsi="MS PMincho" w:cs="MS Gothic"/>
                <w:sz w:val="22"/>
                <w:szCs w:val="22"/>
                <w:lang w:val="en-US"/>
              </w:rPr>
              <w:lastRenderedPageBreak/>
              <w:t>combined effect of grain growth during aging and subsequent strain accumulation and kink formation during pre-deformation. These large, textured grains, enriched with stored strain and kink structures, facilitated extensive DRX during the second extrusion, resulting in a higher fraction of recrystallized grains and, consequently, improved ductility.</w:t>
            </w:r>
          </w:p>
          <w:p w14:paraId="6A6CDD1F" w14:textId="3D752C3E"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51864B24" w14:textId="13AE96B0" w:rsidR="00B66685" w:rsidRDefault="00B66685" w:rsidP="005A04CE">
            <w:pPr>
              <w:pStyle w:val="a"/>
              <w:wordWrap/>
              <w:spacing w:line="288" w:lineRule="atLeast"/>
              <w:rPr>
                <w:rFonts w:ascii="MS PMincho" w:eastAsia="MS PMincho" w:hAnsi="MS PMincho"/>
                <w:spacing w:val="0"/>
              </w:rPr>
            </w:pPr>
            <w:r w:rsidRPr="00B66685">
              <w:rPr>
                <w:rFonts w:ascii="MS PMincho" w:eastAsia="MS PMincho" w:hAnsi="MS PMincho"/>
                <w:spacing w:val="0"/>
              </w:rPr>
              <w:t>Tailoring the microstructural state prior to extrusion plays a crucial role in determining the resulting mechanical properties. In particular, pre-deformation was found to significantly enhance the strength–ductility balance. In the present study, pre-deformation was applied along the extrusion direction. However, due to the hexagonal close-packed (HCP) crystal structure, magnesium alloys exhibit pronounced mechanical anisotropy. Therefore, pre-deformation applied perpendicular to the extrusion direction may lead to a different microstructural evolution and, consequently, altered mechanical response.</w:t>
            </w:r>
          </w:p>
          <w:p w14:paraId="6BD61496" w14:textId="173100C5"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19F2FAEA" w:rsidR="00596D90"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Publication</w:t>
            </w:r>
          </w:p>
          <w:p w14:paraId="1573E43C" w14:textId="35DEBC50" w:rsidR="001465A2" w:rsidRPr="00223C3B" w:rsidRDefault="00ED3599" w:rsidP="005A04CE">
            <w:pPr>
              <w:pStyle w:val="a"/>
              <w:wordWrap/>
              <w:spacing w:line="288" w:lineRule="atLeast"/>
              <w:rPr>
                <w:rFonts w:ascii="MS PMincho" w:eastAsia="MS PMincho" w:hAnsi="MS PMincho"/>
                <w:spacing w:val="0"/>
              </w:rPr>
            </w:pPr>
            <w:r w:rsidRPr="00223C3B">
              <w:rPr>
                <w:rFonts w:ascii="MS PMincho" w:eastAsia="MS PMincho" w:hAnsi="MS PMincho"/>
                <w:spacing w:val="0"/>
              </w:rPr>
              <w:t>D. Dvorsky,  Y. Kawamura,  S.I. Inoue,  J. Kubásek,  D. Necas,  L. Heller,  E. De Prado,  J. Duchon,  P. Svora,  M. Cavojsky, D. Vojtech, Improving Strength and Ductility in Mg-Y-Zn alloy via Pre-deformation Prior to Extrusion, Manuf. Technol. 25 (2025) 5. 10.21062/mft.2025.059</w:t>
            </w:r>
          </w:p>
          <w:p w14:paraId="4E102701" w14:textId="6C8C2F40" w:rsidR="003B54FD" w:rsidRPr="005927ED" w:rsidRDefault="003B54FD" w:rsidP="005A04CE">
            <w:pPr>
              <w:pStyle w:val="a"/>
              <w:wordWrap/>
              <w:spacing w:line="288" w:lineRule="atLeast"/>
              <w:rPr>
                <w:rFonts w:ascii="MS PMincho" w:eastAsia="MS PMincho" w:hAnsi="MS PMincho"/>
                <w:spacing w:val="0"/>
              </w:rPr>
            </w:pPr>
            <w:r w:rsidRPr="00223C3B">
              <w:rPr>
                <w:rFonts w:ascii="MS PMincho" w:eastAsia="MS PMincho" w:hAnsi="MS PMincho"/>
                <w:spacing w:val="0"/>
              </w:rPr>
              <w:t>Another publication is in preparation</w:t>
            </w:r>
          </w:p>
          <w:p w14:paraId="181865A2" w14:textId="75785265" w:rsidR="00ED3599"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 xml:space="preserve">　●</w:t>
            </w:r>
            <w:r w:rsidR="00C13F4C" w:rsidRPr="00C13F4C">
              <w:rPr>
                <w:rFonts w:ascii="MS PMincho" w:eastAsia="MS PMincho" w:hAnsi="MS PMincho"/>
                <w:spacing w:val="0"/>
              </w:rPr>
              <w:t>International conference presentation</w:t>
            </w:r>
          </w:p>
          <w:p w14:paraId="571408E4" w14:textId="3C761A22" w:rsidR="00ED3599" w:rsidRPr="005927ED" w:rsidRDefault="00ED3599" w:rsidP="005A04CE">
            <w:pPr>
              <w:pStyle w:val="a"/>
              <w:wordWrap/>
              <w:spacing w:line="288" w:lineRule="atLeast"/>
              <w:rPr>
                <w:rFonts w:ascii="MS PMincho" w:eastAsia="MS PMincho" w:hAnsi="MS PMincho"/>
                <w:spacing w:val="0"/>
              </w:rPr>
            </w:pPr>
            <w:r>
              <w:rPr>
                <w:rFonts w:ascii="MS PMincho" w:eastAsia="MS PMincho" w:hAnsi="MS PMincho"/>
                <w:spacing w:val="0"/>
              </w:rPr>
              <w:t>Tuning mechanical properties of Mg-Y-Zn alloy - Aluminium and non-ferous metals 2025</w:t>
            </w:r>
          </w:p>
          <w:p w14:paraId="2B1D7F3D" w14:textId="19D5534C" w:rsidR="00596D90" w:rsidRPr="005927ED" w:rsidRDefault="00596D90" w:rsidP="005A04CE">
            <w:pPr>
              <w:pStyle w:val="a"/>
              <w:wordWrap/>
              <w:spacing w:line="288" w:lineRule="atLeast"/>
              <w:rPr>
                <w:rFonts w:ascii="MS PMincho" w:eastAsia="MS PMincho" w:hAnsi="MS PMincho"/>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25AE" w14:textId="77777777" w:rsidR="00D12134" w:rsidRDefault="00D12134">
      <w:r>
        <w:separator/>
      </w:r>
    </w:p>
  </w:endnote>
  <w:endnote w:type="continuationSeparator" w:id="0">
    <w:p w14:paraId="6B5FB567" w14:textId="77777777" w:rsidR="00D12134" w:rsidRDefault="00D1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1267" w14:textId="77777777" w:rsidR="00D12134" w:rsidRDefault="00D12134">
      <w:r>
        <w:separator/>
      </w:r>
    </w:p>
  </w:footnote>
  <w:footnote w:type="continuationSeparator" w:id="0">
    <w:p w14:paraId="31A7597D" w14:textId="77777777" w:rsidR="00D12134" w:rsidRDefault="00D1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Zhlav"/>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013AB"/>
    <w:rsid w:val="00110ABF"/>
    <w:rsid w:val="0011423D"/>
    <w:rsid w:val="00115A06"/>
    <w:rsid w:val="00115C63"/>
    <w:rsid w:val="00127325"/>
    <w:rsid w:val="0014537D"/>
    <w:rsid w:val="001465A2"/>
    <w:rsid w:val="001519A9"/>
    <w:rsid w:val="00160C01"/>
    <w:rsid w:val="00174206"/>
    <w:rsid w:val="0017573A"/>
    <w:rsid w:val="0018048D"/>
    <w:rsid w:val="00187075"/>
    <w:rsid w:val="001A4BCB"/>
    <w:rsid w:val="001A7C6E"/>
    <w:rsid w:val="001D1C8E"/>
    <w:rsid w:val="001D4202"/>
    <w:rsid w:val="001F6B85"/>
    <w:rsid w:val="00206486"/>
    <w:rsid w:val="002074CB"/>
    <w:rsid w:val="00213778"/>
    <w:rsid w:val="0022133D"/>
    <w:rsid w:val="00223C3B"/>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0B3B"/>
    <w:rsid w:val="00341201"/>
    <w:rsid w:val="00347894"/>
    <w:rsid w:val="00361542"/>
    <w:rsid w:val="00362F56"/>
    <w:rsid w:val="00365119"/>
    <w:rsid w:val="003709E8"/>
    <w:rsid w:val="00376033"/>
    <w:rsid w:val="00395960"/>
    <w:rsid w:val="00396C5F"/>
    <w:rsid w:val="003B1E8B"/>
    <w:rsid w:val="003B415C"/>
    <w:rsid w:val="003B54FD"/>
    <w:rsid w:val="003C2534"/>
    <w:rsid w:val="003C3134"/>
    <w:rsid w:val="003D0596"/>
    <w:rsid w:val="003E4667"/>
    <w:rsid w:val="003E7254"/>
    <w:rsid w:val="003E7B5E"/>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0BBB"/>
    <w:rsid w:val="004D3F7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D05BD"/>
    <w:rsid w:val="005E3E12"/>
    <w:rsid w:val="005F7A9B"/>
    <w:rsid w:val="006072A7"/>
    <w:rsid w:val="00636A92"/>
    <w:rsid w:val="00657E4A"/>
    <w:rsid w:val="00663CBD"/>
    <w:rsid w:val="00670540"/>
    <w:rsid w:val="00677590"/>
    <w:rsid w:val="00683857"/>
    <w:rsid w:val="00691043"/>
    <w:rsid w:val="0069343D"/>
    <w:rsid w:val="00694C20"/>
    <w:rsid w:val="006A41DE"/>
    <w:rsid w:val="006B0B4F"/>
    <w:rsid w:val="006C3289"/>
    <w:rsid w:val="006D49C0"/>
    <w:rsid w:val="006E1155"/>
    <w:rsid w:val="006F4346"/>
    <w:rsid w:val="006F75FD"/>
    <w:rsid w:val="00700B53"/>
    <w:rsid w:val="00700CE5"/>
    <w:rsid w:val="0070455B"/>
    <w:rsid w:val="00706F69"/>
    <w:rsid w:val="0071088A"/>
    <w:rsid w:val="00726929"/>
    <w:rsid w:val="0074560D"/>
    <w:rsid w:val="007474A9"/>
    <w:rsid w:val="007639CD"/>
    <w:rsid w:val="007725D9"/>
    <w:rsid w:val="007A2C02"/>
    <w:rsid w:val="007A6950"/>
    <w:rsid w:val="007A7264"/>
    <w:rsid w:val="007B652D"/>
    <w:rsid w:val="007C4342"/>
    <w:rsid w:val="007D19CD"/>
    <w:rsid w:val="00804D6C"/>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9F3"/>
    <w:rsid w:val="008B5755"/>
    <w:rsid w:val="008C40E6"/>
    <w:rsid w:val="008D165D"/>
    <w:rsid w:val="008D5347"/>
    <w:rsid w:val="008D7C8A"/>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40432"/>
    <w:rsid w:val="00B4528B"/>
    <w:rsid w:val="00B45404"/>
    <w:rsid w:val="00B54F0D"/>
    <w:rsid w:val="00B66685"/>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C13F4C"/>
    <w:rsid w:val="00C16201"/>
    <w:rsid w:val="00C336BA"/>
    <w:rsid w:val="00C4373F"/>
    <w:rsid w:val="00C608C4"/>
    <w:rsid w:val="00C6198A"/>
    <w:rsid w:val="00C61FA7"/>
    <w:rsid w:val="00C75BA8"/>
    <w:rsid w:val="00C806F8"/>
    <w:rsid w:val="00C8773A"/>
    <w:rsid w:val="00C93DC4"/>
    <w:rsid w:val="00C94BC8"/>
    <w:rsid w:val="00CB631A"/>
    <w:rsid w:val="00CC2722"/>
    <w:rsid w:val="00CC3420"/>
    <w:rsid w:val="00CD363D"/>
    <w:rsid w:val="00CD5A91"/>
    <w:rsid w:val="00CD6D9E"/>
    <w:rsid w:val="00CE285E"/>
    <w:rsid w:val="00CE43F0"/>
    <w:rsid w:val="00CF0215"/>
    <w:rsid w:val="00D024DD"/>
    <w:rsid w:val="00D12134"/>
    <w:rsid w:val="00D25AF2"/>
    <w:rsid w:val="00D26A00"/>
    <w:rsid w:val="00D33219"/>
    <w:rsid w:val="00D5057F"/>
    <w:rsid w:val="00D50603"/>
    <w:rsid w:val="00D520B8"/>
    <w:rsid w:val="00D7048F"/>
    <w:rsid w:val="00D73E83"/>
    <w:rsid w:val="00D82B04"/>
    <w:rsid w:val="00D82C90"/>
    <w:rsid w:val="00D82DA2"/>
    <w:rsid w:val="00DA0032"/>
    <w:rsid w:val="00DA044E"/>
    <w:rsid w:val="00DB1B60"/>
    <w:rsid w:val="00DB4369"/>
    <w:rsid w:val="00DB4924"/>
    <w:rsid w:val="00DD0428"/>
    <w:rsid w:val="00DD5F5D"/>
    <w:rsid w:val="00DD7FD2"/>
    <w:rsid w:val="00DE4412"/>
    <w:rsid w:val="00DF4E75"/>
    <w:rsid w:val="00E152D1"/>
    <w:rsid w:val="00E41F6F"/>
    <w:rsid w:val="00E442D8"/>
    <w:rsid w:val="00E547EF"/>
    <w:rsid w:val="00E6722A"/>
    <w:rsid w:val="00E7114C"/>
    <w:rsid w:val="00E878C2"/>
    <w:rsid w:val="00E96D99"/>
    <w:rsid w:val="00EA178E"/>
    <w:rsid w:val="00EA2364"/>
    <w:rsid w:val="00EA3DDE"/>
    <w:rsid w:val="00EB4063"/>
    <w:rsid w:val="00EC291F"/>
    <w:rsid w:val="00ED3599"/>
    <w:rsid w:val="00ED4F86"/>
    <w:rsid w:val="00ED71D6"/>
    <w:rsid w:val="00EE06CF"/>
    <w:rsid w:val="00F076DC"/>
    <w:rsid w:val="00F14313"/>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 w:val="00FF6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96D90"/>
    <w:pPr>
      <w:widowControl w:val="0"/>
      <w:jc w:val="both"/>
    </w:pPr>
    <w:rPr>
      <w:kern w:val="2"/>
      <w:sz w:val="21"/>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Zhlav">
    <w:name w:val="header"/>
    <w:basedOn w:val="Normln"/>
    <w:link w:val="ZhlavChar"/>
    <w:uiPriority w:val="99"/>
    <w:pPr>
      <w:tabs>
        <w:tab w:val="center" w:pos="4252"/>
        <w:tab w:val="right" w:pos="8504"/>
      </w:tabs>
      <w:snapToGrid w:val="0"/>
    </w:pPr>
  </w:style>
  <w:style w:type="paragraph" w:styleId="Zpat">
    <w:name w:val="footer"/>
    <w:basedOn w:val="Normln"/>
    <w:pPr>
      <w:tabs>
        <w:tab w:val="center" w:pos="4252"/>
        <w:tab w:val="right" w:pos="8504"/>
      </w:tabs>
      <w:snapToGrid w:val="0"/>
    </w:pPr>
  </w:style>
  <w:style w:type="character" w:styleId="slostrnky">
    <w:name w:val="page number"/>
    <w:basedOn w:val="Standardnpsmoodstavce"/>
  </w:style>
  <w:style w:type="paragraph" w:styleId="Textbubliny">
    <w:name w:val="Balloon Text"/>
    <w:basedOn w:val="Normln"/>
    <w:semiHidden/>
    <w:rPr>
      <w:rFonts w:ascii="Arial" w:eastAsia="MS Gothic" w:hAnsi="Arial"/>
      <w:sz w:val="18"/>
      <w:szCs w:val="18"/>
    </w:rPr>
  </w:style>
  <w:style w:type="character" w:styleId="Odkaznakoment">
    <w:name w:val="annotation reference"/>
    <w:semiHidden/>
    <w:rPr>
      <w:sz w:val="18"/>
      <w:szCs w:val="18"/>
    </w:rPr>
  </w:style>
  <w:style w:type="paragraph" w:styleId="Textkomente">
    <w:name w:val="annotation text"/>
    <w:basedOn w:val="Normln"/>
    <w:semiHidden/>
    <w:pPr>
      <w:jc w:val="left"/>
    </w:pPr>
  </w:style>
  <w:style w:type="paragraph" w:styleId="Pedmtkomente">
    <w:name w:val="annotation subject"/>
    <w:basedOn w:val="Textkomente"/>
    <w:next w:val="Textkomente"/>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ypertextovodkaz">
    <w:name w:val="Hyperlink"/>
    <w:rsid w:val="00F963DD"/>
    <w:rPr>
      <w:color w:val="0000FF"/>
      <w:u w:val="single"/>
    </w:rPr>
  </w:style>
  <w:style w:type="character" w:customStyle="1" w:styleId="ZhlavChar">
    <w:name w:val="Záhlaví Char"/>
    <w:link w:val="Zhlav"/>
    <w:uiPriority w:val="99"/>
    <w:rsid w:val="00DD5F5D"/>
    <w:rPr>
      <w:kern w:val="2"/>
      <w:sz w:val="21"/>
      <w:szCs w:val="24"/>
    </w:rPr>
  </w:style>
  <w:style w:type="table" w:styleId="Mkatabulky">
    <w:name w:val="Table Grid"/>
    <w:basedOn w:val="Normlntabulka"/>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340B3B"/>
    <w:pPr>
      <w:widowControl/>
      <w:spacing w:before="100" w:beforeAutospacing="1" w:after="100" w:afterAutospacing="1"/>
      <w:jc w:val="left"/>
    </w:pPr>
    <w:rPr>
      <w:rFonts w:ascii="Times New Roman" w:eastAsia="Times New Roman" w:hAnsi="Times New Roman"/>
      <w:kern w:val="0"/>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787</Words>
  <Characters>4644</Characters>
  <Application>Microsoft Office Word</Application>
  <DocSecurity>0</DocSecurity>
  <Lines>38</Lines>
  <Paragraphs>10</Paragraphs>
  <ScaleCrop>false</ScaleCrop>
  <HeadingPairs>
    <vt:vector size="4" baseType="variant">
      <vt:variant>
        <vt:lpstr>Název</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Drahomír Dvorský</cp:lastModifiedBy>
  <cp:revision>11</cp:revision>
  <cp:lastPrinted>2023-04-26T09:24:00Z</cp:lastPrinted>
  <dcterms:created xsi:type="dcterms:W3CDTF">2024-04-17T05:00:00Z</dcterms:created>
  <dcterms:modified xsi:type="dcterms:W3CDTF">2026-04-22T13:02:00Z</dcterms:modified>
</cp:coreProperties>
</file>